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18D" w:rsidRDefault="0034018D" w:rsidP="0068684A">
      <w:pPr>
        <w:rPr>
          <w:rFonts w:ascii="Cambria" w:eastAsia="Times New Roman" w:hAnsi="Cambria" w:cs="Times New Roman"/>
          <w:b/>
          <w:bCs/>
          <w:color w:val="333333"/>
          <w:kern w:val="0"/>
          <w:sz w:val="33"/>
          <w:szCs w:val="33"/>
          <w14:ligatures w14:val="none"/>
        </w:rPr>
      </w:pPr>
    </w:p>
    <w:p w:rsidR="00D12110" w:rsidRDefault="0068684A" w:rsidP="0068684A">
      <w:pPr>
        <w:rPr>
          <w:rFonts w:ascii="Cambria" w:eastAsia="Times New Roman" w:hAnsi="Cambria" w:cs="Times New Roman"/>
          <w:color w:val="777777"/>
          <w:kern w:val="0"/>
          <w:sz w:val="18"/>
          <w:szCs w:val="18"/>
          <w14:ligatures w14:val="none"/>
        </w:rPr>
      </w:pPr>
      <w:r w:rsidRPr="0068684A">
        <w:rPr>
          <w:rFonts w:ascii="Cambria" w:eastAsia="Times New Roman" w:hAnsi="Cambria" w:cs="Times New Roman"/>
          <w:b/>
          <w:bCs/>
          <w:color w:val="333333"/>
          <w:kern w:val="0"/>
          <w:sz w:val="33"/>
          <w:szCs w:val="33"/>
          <w14:ligatures w14:val="none"/>
        </w:rPr>
        <w:t>Utility Management Consultant</w:t>
      </w:r>
      <w:r>
        <w:rPr>
          <w:rFonts w:ascii="Cambria" w:eastAsia="Times New Roman" w:hAnsi="Cambria" w:cs="Times New Roman"/>
          <w:b/>
          <w:bCs/>
          <w:color w:val="333333"/>
          <w:kern w:val="0"/>
          <w:sz w:val="33"/>
          <w:szCs w:val="33"/>
          <w14:ligatures w14:val="none"/>
        </w:rPr>
        <w:t xml:space="preserve"> </w:t>
      </w:r>
      <w:r w:rsidRPr="0068684A">
        <w:rPr>
          <w:rFonts w:ascii="Cambria" w:eastAsia="Times New Roman" w:hAnsi="Cambria" w:cs="Times New Roman"/>
          <w:b/>
          <w:bCs/>
          <w:color w:val="333333"/>
          <w:kern w:val="0"/>
          <w:sz w:val="33"/>
          <w:szCs w:val="33"/>
          <w14:ligatures w14:val="none"/>
        </w:rPr>
        <w:t>- Municipal Technical Advisory Service</w:t>
      </w:r>
      <w:r w:rsidRPr="0068684A">
        <w:rPr>
          <w:rFonts w:ascii="Cambria" w:eastAsia="Times New Roman" w:hAnsi="Cambria" w:cs="Times New Roman"/>
          <w:color w:val="777777"/>
          <w:kern w:val="0"/>
          <w:sz w:val="18"/>
          <w:szCs w:val="18"/>
          <w14:ligatures w14:val="none"/>
        </w:rPr>
        <w:t> </w:t>
      </w:r>
    </w:p>
    <w:p w:rsidR="00D12110" w:rsidRDefault="00D12110" w:rsidP="0068684A">
      <w:pPr>
        <w:rPr>
          <w:rFonts w:ascii="Cambria" w:eastAsia="Times New Roman" w:hAnsi="Cambria" w:cs="Times New Roman"/>
          <w:color w:val="777777"/>
          <w:kern w:val="0"/>
          <w:sz w:val="18"/>
          <w:szCs w:val="18"/>
          <w14:ligatures w14:val="none"/>
        </w:rPr>
      </w:pPr>
    </w:p>
    <w:p w:rsidR="00D12110" w:rsidRDefault="00D12110" w:rsidP="0068684A">
      <w:pPr>
        <w:rPr>
          <w:rFonts w:ascii="Cambria" w:eastAsia="Times New Roman" w:hAnsi="Cambria" w:cs="Times New Roman"/>
          <w:color w:val="777777"/>
          <w:kern w:val="0"/>
          <w:sz w:val="18"/>
          <w:szCs w:val="18"/>
          <w14:ligatures w14:val="none"/>
        </w:rPr>
      </w:pPr>
    </w:p>
    <w:p w:rsidR="0068684A" w:rsidRPr="0068684A" w:rsidRDefault="0068684A" w:rsidP="0068684A">
      <w:pPr>
        <w:rPr>
          <w:rFonts w:ascii="Cambria" w:eastAsia="Times New Roman" w:hAnsi="Cambria" w:cs="Times New Roman"/>
          <w:color w:val="000000" w:themeColor="text1"/>
          <w:kern w:val="0"/>
          <w:sz w:val="18"/>
          <w:szCs w:val="18"/>
          <w14:ligatures w14:val="none"/>
        </w:rPr>
      </w:pPr>
      <w:r w:rsidRPr="0068684A">
        <w:rPr>
          <w:rFonts w:ascii="Cambria" w:eastAsia="Times New Roman" w:hAnsi="Cambria" w:cs="Times New Roman"/>
          <w:color w:val="000000" w:themeColor="text1"/>
          <w:kern w:val="0"/>
          <w:sz w:val="21"/>
          <w:szCs w:val="21"/>
          <w14:ligatures w14:val="none"/>
        </w:rPr>
        <w:t>-</w:t>
      </w:r>
      <w:r w:rsidRPr="0068684A">
        <w:rPr>
          <w:rFonts w:ascii="Cambria" w:eastAsia="Times New Roman" w:hAnsi="Cambria" w:cs="Times New Roman"/>
          <w:color w:val="000000" w:themeColor="text1"/>
          <w:kern w:val="0"/>
          <w:sz w:val="18"/>
          <w:szCs w:val="18"/>
          <w14:ligatures w14:val="none"/>
        </w:rPr>
        <w:t> </w:t>
      </w:r>
      <w:r w:rsidRPr="0068684A">
        <w:rPr>
          <w:rFonts w:ascii="Cambria" w:eastAsia="Times New Roman" w:hAnsi="Cambria" w:cs="Times New Roman"/>
          <w:color w:val="000000" w:themeColor="text1"/>
          <w:kern w:val="0"/>
          <w:sz w:val="21"/>
          <w:szCs w:val="21"/>
          <w14:ligatures w14:val="none"/>
        </w:rPr>
        <w:t>23000000YA</w:t>
      </w:r>
      <w:r w:rsidRPr="0068684A">
        <w:rPr>
          <w:rFonts w:ascii="Cambria" w:eastAsia="Times New Roman" w:hAnsi="Cambria" w:cs="Times New Roman"/>
          <w:color w:val="000000" w:themeColor="text1"/>
          <w:kern w:val="0"/>
          <w:sz w:val="18"/>
          <w:szCs w:val="18"/>
          <w14:ligatures w14:val="none"/>
        </w:rPr>
        <w:t> </w:t>
      </w:r>
    </w:p>
    <w:p w:rsidR="0068684A" w:rsidRPr="0068684A" w:rsidRDefault="0068684A" w:rsidP="0068684A">
      <w:pPr>
        <w:spacing w:before="100" w:beforeAutospacing="1"/>
        <w:rPr>
          <w:rFonts w:ascii="Cambria" w:eastAsia="Times New Roman" w:hAnsi="Cambria" w:cs="Arial"/>
          <w:color w:val="333333"/>
          <w:kern w:val="0"/>
          <w:sz w:val="20"/>
          <w:szCs w:val="20"/>
          <w14:ligatures w14:val="none"/>
        </w:rPr>
      </w:pPr>
      <w:r w:rsidRPr="0068684A">
        <w:rPr>
          <w:rFonts w:ascii="Cambria" w:eastAsia="Times New Roman" w:hAnsi="Cambria" w:cs="Arial"/>
          <w:b/>
          <w:bCs/>
          <w:i/>
          <w:iCs/>
          <w:color w:val="000000"/>
          <w:kern w:val="0"/>
          <w:sz w:val="20"/>
          <w:szCs w:val="20"/>
          <w14:ligatures w14:val="none"/>
        </w:rPr>
        <w:t>Municipal Technical Advisory Service (MTAS)</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b/>
          <w:bCs/>
          <w:color w:val="333333"/>
          <w:kern w:val="0"/>
          <w:sz w:val="20"/>
          <w:szCs w:val="20"/>
          <w14:ligatures w14:val="none"/>
        </w:rPr>
        <w:t>Description:</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color w:val="333333"/>
          <w:kern w:val="0"/>
          <w:sz w:val="20"/>
          <w:szCs w:val="20"/>
          <w14:ligatures w14:val="none"/>
        </w:rPr>
        <w:t>Provides professional advice and technical assistance on a wide range of water or wastewater operations, finance, and management to city officials (elected and appointed), and their staff in all cities in the state of Tennessee.</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color w:val="333333"/>
          <w:kern w:val="0"/>
          <w:sz w:val="20"/>
          <w:szCs w:val="20"/>
          <w14:ligatures w14:val="none"/>
        </w:rPr>
        <w:t>These positions consult and train on public safety issues regarding the Federal Safe Drinking Water and Clean Water Acts.</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color w:val="333333"/>
          <w:kern w:val="0"/>
          <w:sz w:val="20"/>
          <w:szCs w:val="20"/>
          <w14:ligatures w14:val="none"/>
        </w:rPr>
        <w:t>Provides water or wastewater operations, finance and management assistance to Tennessee professional organizations and agencies such as the Tennessee Water and Wastewater Association, Tennessee City Managers Association, Tennessee Municipal League, and the Tennessee Municipal League Risk Management Pool. </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color w:val="333333"/>
          <w:kern w:val="0"/>
          <w:sz w:val="20"/>
          <w:szCs w:val="20"/>
          <w14:ligatures w14:val="none"/>
        </w:rPr>
        <w:t>Provides technical assistance to Tennessee municipal customers in water or wastewater issues. This assistance can be plant optimization and troubleshooting, producing financial reviews, assistance with mandatory reports to the Environmental Protection Agency and Tennessee Department of Environment and Conservation; training of municipal staff in water or wastewater operations and regulations, safety, interpretation, and implementation of utility laws both Federal and State.</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color w:val="333333"/>
          <w:kern w:val="0"/>
          <w:sz w:val="20"/>
          <w:szCs w:val="20"/>
          <w14:ligatures w14:val="none"/>
        </w:rPr>
        <w:t>Develops publications regarding water or wastewater issues, develop and teach training programs for water or wastewater applications. Water or wastewater utility management consultants serve as in-house experts to MTAS staff. Also, may provide support to municipal natural gas systems in the areas of rate reviews, pipeline management and safety. </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14:ligatures w14:val="none"/>
        </w:rPr>
      </w:pPr>
      <w:r w:rsidRPr="0068684A">
        <w:rPr>
          <w:rFonts w:ascii="Cambria" w:eastAsia="Times New Roman" w:hAnsi="Cambria" w:cs="Times New Roman"/>
          <w:color w:val="333333"/>
          <w:kern w:val="0"/>
          <w:sz w:val="20"/>
          <w:szCs w:val="20"/>
          <w14:ligatures w14:val="none"/>
        </w:rPr>
        <w:t>Performs other special project work as assigned by the Technical Consulting Program Manager, Assistant Director, or the Executive Director.  Assists other consultants in the performance of projects and participates in team projects.</w:t>
      </w:r>
    </w:p>
    <w:p w:rsidR="0068684A" w:rsidRPr="0068684A" w:rsidRDefault="0068684A" w:rsidP="0068684A">
      <w:pPr>
        <w:spacing w:before="100" w:beforeAutospacing="1" w:after="100" w:afterAutospacing="1"/>
        <w:rPr>
          <w:rFonts w:ascii="Cambria" w:eastAsia="Times New Roman" w:hAnsi="Cambria" w:cs="Times New Roman"/>
          <w:kern w:val="0"/>
          <w:sz w:val="20"/>
          <w:szCs w:val="20"/>
          <w14:ligatures w14:val="none"/>
        </w:rPr>
      </w:pPr>
      <w:r w:rsidRPr="0068684A">
        <w:rPr>
          <w:rFonts w:ascii="Cambria" w:eastAsia="Times New Roman" w:hAnsi="Cambria" w:cs="Times New Roman"/>
          <w:b/>
          <w:bCs/>
          <w:color w:val="000000"/>
          <w:kern w:val="0"/>
          <w:sz w:val="20"/>
          <w:szCs w:val="20"/>
          <w:shd w:val="clear" w:color="auto" w:fill="FFFFFF"/>
          <w14:ligatures w14:val="none"/>
        </w:rPr>
        <w:t>Duties and Responsibilities:</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color w:val="000000"/>
          <w:kern w:val="0"/>
          <w:sz w:val="20"/>
          <w:szCs w:val="20"/>
          <w:shd w:val="clear" w:color="auto" w:fill="FFFFFF"/>
          <w14:ligatures w14:val="none"/>
        </w:rPr>
        <w:t>Provides technical assistance to elected and appointed municipal officials and municipal staff. Provides advice and assistance for non-city clients such as elected and staff members of the Tennessee General Assembly, employees of state agencies, staff of the Tennessee Municipal League, and officers of associations of municipal officials. Professional advice and technical operational assistance to municipality associated with its water or wastewater treatment needs. This includes time to provide technical assistance to municipalities in violation of the Clean Water Act or Safe Drinking Water Act. </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color w:val="000000"/>
          <w:kern w:val="0"/>
          <w:sz w:val="20"/>
          <w:szCs w:val="20"/>
          <w:shd w:val="clear" w:color="auto" w:fill="FFFFFF"/>
          <w14:ligatures w14:val="none"/>
        </w:rPr>
        <w:t xml:space="preserve">Develop and maintain close working relationships with both elected and appointed city officials for the assigned cities. This includes time at city hall, phone calls, emails, research, travel and writing time. Maintains an area (or areas) of specialization and serves as the in-house expert to MTAS staff in such areas as water or wastewater plant operations, collection system operations and maintenance, distribution system operation </w:t>
      </w:r>
      <w:r w:rsidRPr="0068684A">
        <w:rPr>
          <w:rFonts w:ascii="Cambria" w:eastAsia="Times New Roman" w:hAnsi="Cambria" w:cs="Times New Roman"/>
          <w:color w:val="000000"/>
          <w:kern w:val="0"/>
          <w:sz w:val="20"/>
          <w:szCs w:val="20"/>
          <w:shd w:val="clear" w:color="auto" w:fill="FFFFFF"/>
          <w14:ligatures w14:val="none"/>
        </w:rPr>
        <w:lastRenderedPageBreak/>
        <w:t>and maintenance, infiltration and inflow analysis, cross connections, water loss, water, sewer or natural gas finances or natural gas pipeline operations and gas acquisition, laboratory testing, laboratory quality assurance, and industrial pretreatment.</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color w:val="000000"/>
          <w:kern w:val="0"/>
          <w:sz w:val="20"/>
          <w:szCs w:val="20"/>
          <w:shd w:val="clear" w:color="auto" w:fill="FFFFFF"/>
          <w14:ligatures w14:val="none"/>
        </w:rPr>
        <w:t>Develop curriculum and provide training for Elected Officials and utility staff. This training includes federal and state regulations, finance, operations, and issues. Develop and instruct technical classes and other training classes as part of the MTAS training program. Produce course materials and provide operator continuing education classes across the state.  Research, produce, and maintain publications and on-line references on critical issues regarding water, wastewater, or natural gas utilities.</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b/>
          <w:bCs/>
          <w:color w:val="000000"/>
          <w:kern w:val="0"/>
          <w:sz w:val="20"/>
          <w:szCs w:val="20"/>
          <w:shd w:val="clear" w:color="auto" w:fill="FFFFFF"/>
          <w14:ligatures w14:val="none"/>
        </w:rPr>
        <w:t>Required Qualifications:</w:t>
      </w:r>
    </w:p>
    <w:p w:rsidR="0068684A" w:rsidRPr="0068684A" w:rsidRDefault="0068684A" w:rsidP="0068684A">
      <w:pPr>
        <w:spacing w:before="100" w:before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b/>
          <w:bCs/>
          <w:color w:val="000000"/>
          <w:kern w:val="0"/>
          <w:sz w:val="20"/>
          <w:szCs w:val="20"/>
          <w:u w:val="single"/>
          <w:shd w:val="clear" w:color="auto" w:fill="FFFFFF"/>
          <w14:ligatures w14:val="none"/>
        </w:rPr>
        <w:t>Education:</w:t>
      </w:r>
      <w:r w:rsidRPr="0068684A">
        <w:rPr>
          <w:rFonts w:ascii="Cambria" w:eastAsia="Times New Roman" w:hAnsi="Cambria" w:cs="Times New Roman"/>
          <w:b/>
          <w:bCs/>
          <w:color w:val="000000"/>
          <w:kern w:val="0"/>
          <w:sz w:val="20"/>
          <w:szCs w:val="20"/>
          <w:shd w:val="clear" w:color="auto" w:fill="FFFFFF"/>
          <w14:ligatures w14:val="none"/>
        </w:rPr>
        <w:t>   </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proofErr w:type="gramStart"/>
      <w:r w:rsidRPr="0068684A">
        <w:rPr>
          <w:rFonts w:ascii="Cambria" w:eastAsia="Times New Roman" w:hAnsi="Cambria" w:cs="Times New Roman"/>
          <w:color w:val="000000"/>
          <w:kern w:val="0"/>
          <w:sz w:val="20"/>
          <w:szCs w:val="20"/>
          <w:shd w:val="clear" w:color="auto" w:fill="FFFFFF"/>
          <w14:ligatures w14:val="none"/>
        </w:rPr>
        <w:t>Bachelor’s</w:t>
      </w:r>
      <w:proofErr w:type="gramEnd"/>
      <w:r w:rsidRPr="0068684A">
        <w:rPr>
          <w:rFonts w:ascii="Cambria" w:eastAsia="Times New Roman" w:hAnsi="Cambria" w:cs="Times New Roman"/>
          <w:color w:val="000000"/>
          <w:kern w:val="0"/>
          <w:sz w:val="20"/>
          <w:szCs w:val="20"/>
          <w:shd w:val="clear" w:color="auto" w:fill="FFFFFF"/>
          <w14:ligatures w14:val="none"/>
        </w:rPr>
        <w:t xml:space="preserve"> in Chemistry, Biology, Environmental Engineering or related field, Master’s Preferred; Requires either TN Water Operation Grade IV license or Wastewater Grade IV license</w:t>
      </w:r>
    </w:p>
    <w:p w:rsidR="0068684A" w:rsidRPr="0068684A" w:rsidRDefault="0068684A" w:rsidP="0068684A">
      <w:pPr>
        <w:spacing w:before="100" w:before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b/>
          <w:bCs/>
          <w:color w:val="000000"/>
          <w:kern w:val="0"/>
          <w:sz w:val="20"/>
          <w:szCs w:val="20"/>
          <w:u w:val="single"/>
          <w:shd w:val="clear" w:color="auto" w:fill="FFFFFF"/>
          <w14:ligatures w14:val="none"/>
        </w:rPr>
        <w:t>Experience:</w:t>
      </w:r>
      <w:r w:rsidRPr="0068684A">
        <w:rPr>
          <w:rFonts w:ascii="Cambria" w:eastAsia="Times New Roman" w:hAnsi="Cambria" w:cs="Times New Roman"/>
          <w:b/>
          <w:bCs/>
          <w:color w:val="000000"/>
          <w:kern w:val="0"/>
          <w:sz w:val="20"/>
          <w:szCs w:val="20"/>
          <w:shd w:val="clear" w:color="auto" w:fill="FFFFFF"/>
          <w14:ligatures w14:val="none"/>
        </w:rPr>
        <w:t>    </w:t>
      </w:r>
    </w:p>
    <w:p w:rsidR="0068684A" w:rsidRPr="0068684A" w:rsidRDefault="0068684A" w:rsidP="0068684A">
      <w:pPr>
        <w:spacing w:before="100" w:before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color w:val="000000"/>
          <w:kern w:val="0"/>
          <w:sz w:val="20"/>
          <w:szCs w:val="20"/>
          <w:shd w:val="clear" w:color="auto" w:fill="FFFFFF"/>
          <w14:ligatures w14:val="none"/>
        </w:rPr>
        <w:t>Requires a working knowledge of the principles, practices, and processes involved in water or wastewater systems and treatment. At least five years of experience with extensive responsible administrative and supervisory experience in the operation of water or wastewater treatment facilities.</w:t>
      </w:r>
    </w:p>
    <w:p w:rsidR="0068684A" w:rsidRPr="0068684A" w:rsidRDefault="0068684A" w:rsidP="0068684A">
      <w:pPr>
        <w:spacing w:before="100" w:before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b/>
          <w:bCs/>
          <w:color w:val="000000"/>
          <w:kern w:val="0"/>
          <w:sz w:val="20"/>
          <w:szCs w:val="20"/>
          <w:u w:val="single"/>
          <w:shd w:val="clear" w:color="auto" w:fill="FFFFFF"/>
          <w14:ligatures w14:val="none"/>
        </w:rPr>
        <w:t>Skills: </w:t>
      </w:r>
      <w:r w:rsidRPr="0068684A">
        <w:rPr>
          <w:rFonts w:ascii="Cambria" w:eastAsia="Times New Roman" w:hAnsi="Cambria" w:cs="Times New Roman"/>
          <w:b/>
          <w:bCs/>
          <w:color w:val="000000"/>
          <w:kern w:val="0"/>
          <w:sz w:val="20"/>
          <w:szCs w:val="20"/>
          <w:shd w:val="clear" w:color="auto" w:fill="FFFFFF"/>
          <w14:ligatures w14:val="none"/>
        </w:rPr>
        <w:t>  </w:t>
      </w:r>
    </w:p>
    <w:p w:rsidR="0068684A" w:rsidRPr="00946DDD" w:rsidRDefault="0068684A" w:rsidP="00946DDD">
      <w:pPr>
        <w:pStyle w:val="ListParagraph"/>
        <w:numPr>
          <w:ilvl w:val="0"/>
          <w:numId w:val="3"/>
        </w:numPr>
        <w:spacing w:after="100" w:afterAutospacing="1"/>
        <w:rPr>
          <w:rFonts w:ascii="Cambria" w:eastAsia="Times New Roman" w:hAnsi="Cambria" w:cs="Times New Roman"/>
          <w:color w:val="333333"/>
          <w:kern w:val="0"/>
          <w:sz w:val="20"/>
          <w:szCs w:val="20"/>
          <w:shd w:val="clear" w:color="auto" w:fill="FFFFFF"/>
          <w14:ligatures w14:val="none"/>
        </w:rPr>
      </w:pPr>
      <w:r w:rsidRPr="00946DDD">
        <w:rPr>
          <w:rFonts w:ascii="Cambria" w:eastAsia="Times New Roman" w:hAnsi="Cambria" w:cs="Times New Roman"/>
          <w:color w:val="000000"/>
          <w:kern w:val="0"/>
          <w:sz w:val="20"/>
          <w:szCs w:val="20"/>
          <w:shd w:val="clear" w:color="auto" w:fill="FFFFFF"/>
          <w14:ligatures w14:val="none"/>
        </w:rPr>
        <w:t>Knowledge and ability to diagnose operational deficiencies/issues in a water or wastewater utility.</w:t>
      </w:r>
    </w:p>
    <w:p w:rsidR="0068684A" w:rsidRPr="00946DDD" w:rsidRDefault="0068684A" w:rsidP="00946DDD">
      <w:pPr>
        <w:pStyle w:val="ListParagraph"/>
        <w:numPr>
          <w:ilvl w:val="0"/>
          <w:numId w:val="3"/>
        </w:num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946DDD">
        <w:rPr>
          <w:rFonts w:ascii="Cambria" w:eastAsia="Times New Roman" w:hAnsi="Cambria" w:cs="Times New Roman"/>
          <w:color w:val="000000"/>
          <w:kern w:val="0"/>
          <w:sz w:val="20"/>
          <w:szCs w:val="20"/>
          <w:shd w:val="clear" w:color="auto" w:fill="FFFFFF"/>
          <w14:ligatures w14:val="none"/>
        </w:rPr>
        <w:t>Skills to offer proper corrective actions in a situation at a utility.</w:t>
      </w:r>
    </w:p>
    <w:p w:rsidR="0068684A" w:rsidRPr="00946DDD" w:rsidRDefault="0068684A" w:rsidP="00946DDD">
      <w:pPr>
        <w:pStyle w:val="ListParagraph"/>
        <w:numPr>
          <w:ilvl w:val="0"/>
          <w:numId w:val="3"/>
        </w:num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946DDD">
        <w:rPr>
          <w:rFonts w:ascii="Cambria" w:eastAsia="Times New Roman" w:hAnsi="Cambria" w:cs="Times New Roman"/>
          <w:color w:val="000000"/>
          <w:kern w:val="0"/>
          <w:sz w:val="20"/>
          <w:szCs w:val="20"/>
          <w:shd w:val="clear" w:color="auto" w:fill="FFFFFF"/>
          <w14:ligatures w14:val="none"/>
        </w:rPr>
        <w:t>Ability to create informative reports and reviews in regards to operational and financial functions of a utility.</w:t>
      </w:r>
    </w:p>
    <w:p w:rsidR="0068684A" w:rsidRPr="00946DDD" w:rsidRDefault="0068684A" w:rsidP="00946DDD">
      <w:pPr>
        <w:pStyle w:val="ListParagraph"/>
        <w:numPr>
          <w:ilvl w:val="0"/>
          <w:numId w:val="3"/>
        </w:num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946DDD">
        <w:rPr>
          <w:rFonts w:ascii="Cambria" w:eastAsia="Times New Roman" w:hAnsi="Cambria" w:cs="Times New Roman"/>
          <w:color w:val="000000"/>
          <w:kern w:val="0"/>
          <w:sz w:val="20"/>
          <w:szCs w:val="20"/>
          <w:shd w:val="clear" w:color="auto" w:fill="FFFFFF"/>
          <w14:ligatures w14:val="none"/>
        </w:rPr>
        <w:t>Ability to recognize a potentially hazardous condition in either drinking water or wastewater operations.</w:t>
      </w:r>
    </w:p>
    <w:p w:rsidR="0068684A" w:rsidRPr="00946DDD" w:rsidRDefault="0068684A" w:rsidP="00946DDD">
      <w:pPr>
        <w:pStyle w:val="ListParagraph"/>
        <w:numPr>
          <w:ilvl w:val="0"/>
          <w:numId w:val="3"/>
        </w:num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946DDD">
        <w:rPr>
          <w:rFonts w:ascii="Cambria" w:eastAsia="Times New Roman" w:hAnsi="Cambria" w:cs="Times New Roman"/>
          <w:color w:val="000000"/>
          <w:kern w:val="0"/>
          <w:sz w:val="20"/>
          <w:szCs w:val="20"/>
          <w:shd w:val="clear" w:color="auto" w:fill="FFFFFF"/>
          <w14:ligatures w14:val="none"/>
        </w:rPr>
        <w:t>Ability to read and interpret federal or state regulations related to utility operations and management.</w:t>
      </w:r>
    </w:p>
    <w:p w:rsidR="00963F42" w:rsidRDefault="0068684A" w:rsidP="00963F42">
      <w:pPr>
        <w:spacing w:before="100" w:before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b/>
          <w:bCs/>
          <w:color w:val="000000"/>
          <w:kern w:val="0"/>
          <w:sz w:val="20"/>
          <w:szCs w:val="20"/>
          <w:u w:val="single"/>
          <w:shd w:val="clear" w:color="auto" w:fill="FFFFFF"/>
          <w14:ligatures w14:val="none"/>
        </w:rPr>
        <w:t>Behaviors:</w:t>
      </w:r>
      <w:r w:rsidR="00963F42">
        <w:rPr>
          <w:rFonts w:ascii="Cambria" w:eastAsia="Times New Roman" w:hAnsi="Cambria" w:cs="Times New Roman"/>
          <w:color w:val="333333"/>
          <w:kern w:val="0"/>
          <w:sz w:val="20"/>
          <w:szCs w:val="20"/>
          <w:shd w:val="clear" w:color="auto" w:fill="FFFFFF"/>
          <w14:ligatures w14:val="none"/>
        </w:rPr>
        <w:t xml:space="preserve">  </w:t>
      </w:r>
      <w:r w:rsidRPr="0068684A">
        <w:rPr>
          <w:rFonts w:ascii="Cambria" w:eastAsia="Times New Roman" w:hAnsi="Cambria" w:cs="Times New Roman"/>
          <w:color w:val="000000"/>
          <w:kern w:val="0"/>
          <w:sz w:val="20"/>
          <w:szCs w:val="20"/>
          <w:shd w:val="clear" w:color="auto" w:fill="FFFFFF"/>
          <w14:ligatures w14:val="none"/>
        </w:rPr>
        <w:t>Self-Starter, Strong Work Ethic, Loyal and Honest </w:t>
      </w:r>
    </w:p>
    <w:p w:rsidR="0068684A" w:rsidRPr="00963F42" w:rsidRDefault="0068684A" w:rsidP="00963F42">
      <w:pPr>
        <w:spacing w:before="100" w:before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b/>
          <w:bCs/>
          <w:color w:val="000000"/>
          <w:kern w:val="0"/>
          <w:sz w:val="20"/>
          <w:szCs w:val="20"/>
          <w:u w:val="single"/>
          <w:shd w:val="clear" w:color="auto" w:fill="FFFFFF"/>
          <w14:ligatures w14:val="none"/>
        </w:rPr>
        <w:t>Location:</w:t>
      </w:r>
      <w:r w:rsidR="00963F42">
        <w:rPr>
          <w:rFonts w:ascii="Cambria" w:eastAsia="Times New Roman" w:hAnsi="Cambria" w:cs="Times New Roman"/>
          <w:color w:val="333333"/>
          <w:kern w:val="0"/>
          <w:sz w:val="20"/>
          <w:szCs w:val="20"/>
          <w:shd w:val="clear" w:color="auto" w:fill="FFFFFF"/>
          <w14:ligatures w14:val="none"/>
        </w:rPr>
        <w:t xml:space="preserve">  </w:t>
      </w:r>
      <w:r w:rsidRPr="0068684A">
        <w:rPr>
          <w:rFonts w:ascii="Cambria" w:eastAsia="Times New Roman" w:hAnsi="Cambria" w:cs="Times New Roman"/>
          <w:color w:val="000000"/>
          <w:kern w:val="0"/>
          <w:sz w:val="20"/>
          <w:szCs w:val="20"/>
          <w:shd w:val="clear" w:color="auto" w:fill="FFFFFF"/>
          <w14:ligatures w14:val="none"/>
        </w:rPr>
        <w:t>Knoxville, TN</w:t>
      </w:r>
    </w:p>
    <w:p w:rsidR="002F4700" w:rsidRPr="002F4700" w:rsidRDefault="002F4700" w:rsidP="0068684A">
      <w:pPr>
        <w:spacing w:before="100" w:beforeAutospacing="1" w:after="100" w:afterAutospacing="1"/>
        <w:rPr>
          <w:rFonts w:ascii="Cambria" w:eastAsia="Times New Roman" w:hAnsi="Cambria" w:cs="Times New Roman"/>
          <w:b/>
          <w:bCs/>
          <w:color w:val="000000"/>
          <w:kern w:val="0"/>
          <w:sz w:val="20"/>
          <w:szCs w:val="20"/>
          <w:u w:val="single"/>
          <w:shd w:val="clear" w:color="auto" w:fill="FFFFFF"/>
          <w14:ligatures w14:val="none"/>
        </w:rPr>
      </w:pPr>
      <w:r w:rsidRPr="002F4700">
        <w:rPr>
          <w:rFonts w:ascii="Cambria" w:eastAsia="Times New Roman" w:hAnsi="Cambria" w:cs="Times New Roman"/>
          <w:b/>
          <w:bCs/>
          <w:color w:val="000000"/>
          <w:kern w:val="0"/>
          <w:sz w:val="20"/>
          <w:szCs w:val="20"/>
          <w:u w:val="single"/>
          <w:shd w:val="clear" w:color="auto" w:fill="FFFFFF"/>
          <w14:ligatures w14:val="none"/>
        </w:rPr>
        <w:t>Apply at</w:t>
      </w:r>
      <w:r w:rsidRPr="002F4700">
        <w:rPr>
          <w:rFonts w:ascii="Cambria" w:eastAsia="Times New Roman" w:hAnsi="Cambria" w:cs="Times New Roman"/>
          <w:b/>
          <w:bCs/>
          <w:color w:val="000000"/>
          <w:kern w:val="0"/>
          <w:sz w:val="20"/>
          <w:szCs w:val="20"/>
          <w:shd w:val="clear" w:color="auto" w:fill="FFFFFF"/>
          <w14:ligatures w14:val="none"/>
        </w:rPr>
        <w:t xml:space="preserve">: </w:t>
      </w:r>
      <w:hyperlink r:id="rId5" w:history="1">
        <w:r w:rsidRPr="002F4700">
          <w:rPr>
            <w:rStyle w:val="Hyperlink"/>
            <w:rFonts w:ascii="Cambria" w:eastAsia="Times New Roman" w:hAnsi="Cambria" w:cs="Times New Roman"/>
            <w:kern w:val="0"/>
            <w:sz w:val="20"/>
            <w:szCs w:val="20"/>
            <w:shd w:val="clear" w:color="auto" w:fill="FFFFFF"/>
            <w14:ligatures w14:val="none"/>
          </w:rPr>
          <w:t>https://ut.taleo.net/careersection/ut_system/jobdetail.ftl?job=23000000YA&amp;lang=en</w:t>
        </w:r>
      </w:hyperlink>
      <w:r w:rsidRPr="002F4700">
        <w:rPr>
          <w:rFonts w:ascii="Cambria" w:eastAsia="Times New Roman" w:hAnsi="Cambria" w:cs="Times New Roman"/>
          <w:color w:val="000000"/>
          <w:kern w:val="0"/>
          <w:sz w:val="20"/>
          <w:szCs w:val="20"/>
          <w:u w:val="single"/>
          <w:shd w:val="clear" w:color="auto" w:fill="FFFFFF"/>
          <w14:ligatures w14:val="none"/>
        </w:rPr>
        <w:t xml:space="preserve"> </w:t>
      </w:r>
    </w:p>
    <w:p w:rsidR="0068684A" w:rsidRPr="0068684A" w:rsidRDefault="0068684A" w:rsidP="0068684A">
      <w:pPr>
        <w:spacing w:before="100" w:beforeAutospacing="1" w:after="100" w:afterAutospacing="1"/>
        <w:rPr>
          <w:rFonts w:ascii="Cambria" w:eastAsia="Times New Roman" w:hAnsi="Cambria" w:cs="Times New Roman"/>
          <w:color w:val="333333"/>
          <w:kern w:val="0"/>
          <w:sz w:val="20"/>
          <w:szCs w:val="20"/>
          <w:shd w:val="clear" w:color="auto" w:fill="FFFFFF"/>
          <w14:ligatures w14:val="none"/>
        </w:rPr>
      </w:pPr>
      <w:r w:rsidRPr="0068684A">
        <w:rPr>
          <w:rFonts w:ascii="Cambria" w:eastAsia="Times New Roman" w:hAnsi="Cambria" w:cs="Times New Roman"/>
          <w:color w:val="000000"/>
          <w:kern w:val="0"/>
          <w:sz w:val="20"/>
          <w:szCs w:val="20"/>
          <w:shd w:val="clear" w:color="auto" w:fill="FFFFFF"/>
          <w14:ligatures w14:val="none"/>
        </w:rPr>
        <w:t>Applicants are encouraged to review all position requirements prior to applying. Salary is based on a combination of professional experience and qualifications. </w:t>
      </w:r>
    </w:p>
    <w:p w:rsidR="0068684A" w:rsidRPr="0068684A" w:rsidRDefault="0068684A" w:rsidP="0068684A">
      <w:pPr>
        <w:spacing w:before="100" w:beforeAutospacing="1" w:after="100" w:afterAutospacing="1"/>
        <w:jc w:val="both"/>
        <w:rPr>
          <w:rFonts w:ascii="Cambria" w:eastAsia="Times New Roman" w:hAnsi="Cambria" w:cs="Times New Roman"/>
          <w:color w:val="000000" w:themeColor="text1"/>
          <w:kern w:val="0"/>
          <w:sz w:val="20"/>
          <w:szCs w:val="20"/>
          <w:shd w:val="clear" w:color="auto" w:fill="FFFFFF"/>
          <w14:ligatures w14:val="none"/>
        </w:rPr>
      </w:pPr>
      <w:r w:rsidRPr="0068684A">
        <w:rPr>
          <w:rFonts w:ascii="Cambria" w:eastAsia="Times New Roman" w:hAnsi="Cambria" w:cs="Times New Roman"/>
          <w:color w:val="000000" w:themeColor="text1"/>
          <w:kern w:val="0"/>
          <w:sz w:val="20"/>
          <w:szCs w:val="20"/>
          <w:shd w:val="clear" w:color="auto" w:fill="FFFFFF"/>
          <w14:ligatures w14:val="none"/>
        </w:rPr>
        <w:t>Applicants must submit a resume with a minimum of three references. Position is open until filled.</w:t>
      </w:r>
    </w:p>
    <w:p w:rsidR="0068684A" w:rsidRPr="007119BE" w:rsidRDefault="0068684A" w:rsidP="0068684A">
      <w:pPr>
        <w:rPr>
          <w:rFonts w:ascii="Cambria" w:eastAsia="Times New Roman" w:hAnsi="Cambria" w:cs="Times New Roman"/>
          <w:b/>
          <w:bCs/>
          <w:color w:val="000000" w:themeColor="text1"/>
          <w:kern w:val="0"/>
          <w:sz w:val="20"/>
          <w:szCs w:val="20"/>
          <w14:ligatures w14:val="none"/>
        </w:rPr>
      </w:pPr>
      <w:r w:rsidRPr="007119BE">
        <w:rPr>
          <w:rFonts w:ascii="Cambria" w:eastAsia="Times New Roman" w:hAnsi="Cambria" w:cs="Times New Roman"/>
          <w:b/>
          <w:bCs/>
          <w:color w:val="000000" w:themeColor="text1"/>
          <w:kern w:val="0"/>
          <w:sz w:val="20"/>
          <w:szCs w:val="20"/>
          <w14:ligatures w14:val="none"/>
        </w:rPr>
        <w:t>EEO/AA STATEMENT / NON-DISCRIMINATION STATEMENT</w:t>
      </w:r>
    </w:p>
    <w:p w:rsidR="00514058" w:rsidRPr="00E767E9" w:rsidRDefault="0068684A" w:rsidP="0068684A">
      <w:pPr>
        <w:rPr>
          <w:rFonts w:ascii="Cambria" w:eastAsia="Times New Roman" w:hAnsi="Cambria" w:cs="Times New Roman"/>
          <w:color w:val="000000" w:themeColor="text1"/>
          <w:kern w:val="0"/>
          <w:sz w:val="20"/>
          <w:szCs w:val="20"/>
          <w14:ligatures w14:val="none"/>
        </w:rPr>
      </w:pPr>
      <w:r w:rsidRPr="0068684A">
        <w:rPr>
          <w:rFonts w:ascii="Cambria" w:eastAsia="Times New Roman" w:hAnsi="Cambria" w:cs="Times New Roman"/>
          <w:color w:val="000000" w:themeColor="text1"/>
          <w:kern w:val="0"/>
          <w:sz w:val="20"/>
          <w:szCs w:val="20"/>
          <w14:ligatures w14:val="none"/>
        </w:rPr>
        <w:t>The University of Tennessee is an EEO/AA/Title VI/Title IX/Section 504/ADA/ADEA institution in the provision of its education and employment programs and services. All qualified applicants will receive equal consideration for employment without regard to, and will not be discriminated against on the basis of, race, color, national origin, religion, sex, pregnancy, marital status, sexual orientation, gender identity, age, physical or mental disability, or covered veteran status.</w:t>
      </w:r>
    </w:p>
    <w:sectPr w:rsidR="00514058" w:rsidRPr="00E7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FC7"/>
    <w:multiLevelType w:val="hybridMultilevel"/>
    <w:tmpl w:val="A42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AA4"/>
    <w:multiLevelType w:val="hybridMultilevel"/>
    <w:tmpl w:val="E9C48F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120C4B"/>
    <w:multiLevelType w:val="multilevel"/>
    <w:tmpl w:val="A4D033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1035424274">
    <w:abstractNumId w:val="2"/>
  </w:num>
  <w:num w:numId="2" w16cid:durableId="409156771">
    <w:abstractNumId w:val="0"/>
  </w:num>
  <w:num w:numId="3" w16cid:durableId="100632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4A"/>
    <w:rsid w:val="002B1F5D"/>
    <w:rsid w:val="002F4700"/>
    <w:rsid w:val="0034018D"/>
    <w:rsid w:val="00404902"/>
    <w:rsid w:val="004A2275"/>
    <w:rsid w:val="00514058"/>
    <w:rsid w:val="00635B1F"/>
    <w:rsid w:val="0068684A"/>
    <w:rsid w:val="007119BE"/>
    <w:rsid w:val="00946DDD"/>
    <w:rsid w:val="00963F42"/>
    <w:rsid w:val="00976AC0"/>
    <w:rsid w:val="00A601D9"/>
    <w:rsid w:val="00BE0A6A"/>
    <w:rsid w:val="00D12110"/>
    <w:rsid w:val="00E7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F551F"/>
  <w15:chartTrackingRefBased/>
  <w15:docId w15:val="{7C253271-8C1A-AE41-B38E-539C8A71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page">
    <w:name w:val="titlepage"/>
    <w:basedOn w:val="DefaultParagraphFont"/>
    <w:rsid w:val="0068684A"/>
  </w:style>
  <w:style w:type="character" w:customStyle="1" w:styleId="inline">
    <w:name w:val="inline"/>
    <w:basedOn w:val="DefaultParagraphFont"/>
    <w:rsid w:val="0068684A"/>
  </w:style>
  <w:style w:type="character" w:customStyle="1" w:styleId="blockpanel">
    <w:name w:val="blockpanel"/>
    <w:basedOn w:val="DefaultParagraphFont"/>
    <w:rsid w:val="0068684A"/>
  </w:style>
  <w:style w:type="character" w:customStyle="1" w:styleId="text">
    <w:name w:val="text"/>
    <w:basedOn w:val="DefaultParagraphFont"/>
    <w:rsid w:val="0068684A"/>
  </w:style>
  <w:style w:type="character" w:styleId="Strong">
    <w:name w:val="Strong"/>
    <w:basedOn w:val="DefaultParagraphFont"/>
    <w:uiPriority w:val="22"/>
    <w:qFormat/>
    <w:rsid w:val="0068684A"/>
    <w:rPr>
      <w:b/>
      <w:bCs/>
    </w:rPr>
  </w:style>
  <w:style w:type="paragraph" w:styleId="NoSpacing">
    <w:name w:val="No Spacing"/>
    <w:basedOn w:val="Normal"/>
    <w:uiPriority w:val="1"/>
    <w:qFormat/>
    <w:rsid w:val="0068684A"/>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46DDD"/>
    <w:pPr>
      <w:ind w:left="720"/>
      <w:contextualSpacing/>
    </w:pPr>
  </w:style>
  <w:style w:type="character" w:styleId="Hyperlink">
    <w:name w:val="Hyperlink"/>
    <w:basedOn w:val="DefaultParagraphFont"/>
    <w:uiPriority w:val="99"/>
    <w:unhideWhenUsed/>
    <w:rsid w:val="002F4700"/>
    <w:rPr>
      <w:color w:val="0563C1" w:themeColor="hyperlink"/>
      <w:u w:val="single"/>
    </w:rPr>
  </w:style>
  <w:style w:type="character" w:styleId="UnresolvedMention">
    <w:name w:val="Unresolved Mention"/>
    <w:basedOn w:val="DefaultParagraphFont"/>
    <w:uiPriority w:val="99"/>
    <w:semiHidden/>
    <w:unhideWhenUsed/>
    <w:rsid w:val="002F4700"/>
    <w:rPr>
      <w:color w:val="605E5C"/>
      <w:shd w:val="clear" w:color="auto" w:fill="E1DFDD"/>
    </w:rPr>
  </w:style>
  <w:style w:type="character" w:styleId="FollowedHyperlink">
    <w:name w:val="FollowedHyperlink"/>
    <w:basedOn w:val="DefaultParagraphFont"/>
    <w:uiPriority w:val="99"/>
    <w:semiHidden/>
    <w:unhideWhenUsed/>
    <w:rsid w:val="002F4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0921">
      <w:bodyDiv w:val="1"/>
      <w:marLeft w:val="0"/>
      <w:marRight w:val="0"/>
      <w:marTop w:val="0"/>
      <w:marBottom w:val="0"/>
      <w:divBdr>
        <w:top w:val="none" w:sz="0" w:space="0" w:color="auto"/>
        <w:left w:val="none" w:sz="0" w:space="0" w:color="auto"/>
        <w:bottom w:val="none" w:sz="0" w:space="0" w:color="auto"/>
        <w:right w:val="none" w:sz="0" w:space="0" w:color="auto"/>
      </w:divBdr>
      <w:divsChild>
        <w:div w:id="1384208840">
          <w:marLeft w:val="0"/>
          <w:marRight w:val="0"/>
          <w:marTop w:val="0"/>
          <w:marBottom w:val="0"/>
          <w:divBdr>
            <w:top w:val="none" w:sz="0" w:space="0" w:color="auto"/>
            <w:left w:val="none" w:sz="0" w:space="0" w:color="auto"/>
            <w:bottom w:val="none" w:sz="0" w:space="0" w:color="auto"/>
            <w:right w:val="none" w:sz="0" w:space="0" w:color="auto"/>
          </w:divBdr>
        </w:div>
        <w:div w:id="3480347">
          <w:marLeft w:val="0"/>
          <w:marRight w:val="0"/>
          <w:marTop w:val="0"/>
          <w:marBottom w:val="0"/>
          <w:divBdr>
            <w:top w:val="none" w:sz="0" w:space="0" w:color="auto"/>
            <w:left w:val="none" w:sz="0" w:space="0" w:color="auto"/>
            <w:bottom w:val="none" w:sz="0" w:space="0" w:color="auto"/>
            <w:right w:val="none" w:sz="0" w:space="0" w:color="auto"/>
          </w:divBdr>
        </w:div>
        <w:div w:id="978192819">
          <w:marLeft w:val="0"/>
          <w:marRight w:val="0"/>
          <w:marTop w:val="0"/>
          <w:marBottom w:val="0"/>
          <w:divBdr>
            <w:top w:val="none" w:sz="0" w:space="0" w:color="auto"/>
            <w:left w:val="none" w:sz="0" w:space="0" w:color="auto"/>
            <w:bottom w:val="none" w:sz="0" w:space="0" w:color="auto"/>
            <w:right w:val="none" w:sz="0" w:space="0" w:color="auto"/>
          </w:divBdr>
        </w:div>
      </w:divsChild>
    </w:div>
    <w:div w:id="8031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taleo.net/careersection/ut_system/jobdetail.ftl?job=23000000YA&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Knipple</dc:creator>
  <cp:keywords/>
  <dc:description/>
  <cp:lastModifiedBy>Stephanie Knipple</cp:lastModifiedBy>
  <cp:revision>14</cp:revision>
  <dcterms:created xsi:type="dcterms:W3CDTF">2023-11-10T15:53:00Z</dcterms:created>
  <dcterms:modified xsi:type="dcterms:W3CDTF">2023-12-20T15:22:00Z</dcterms:modified>
</cp:coreProperties>
</file>